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84" w:rsidRDefault="004C1784" w:rsidP="004C1784">
      <w:pPr>
        <w:shd w:val="clear" w:color="auto" w:fill="F6F6F6"/>
        <w:spacing w:after="0" w:line="540" w:lineRule="atLeast"/>
        <w:jc w:val="center"/>
        <w:outlineLvl w:val="0"/>
        <w:rPr>
          <w:rFonts w:ascii="Trebuchet MS" w:eastAsia="Times New Roman" w:hAnsi="Trebuchet MS" w:cs="Times New Roman"/>
          <w:color w:val="5C5C5C"/>
          <w:kern w:val="36"/>
          <w:sz w:val="54"/>
          <w:szCs w:val="54"/>
        </w:rPr>
      </w:pPr>
      <w:proofErr w:type="spellStart"/>
      <w:r w:rsidRPr="006B430B">
        <w:rPr>
          <w:rFonts w:ascii="Trebuchet MS" w:eastAsia="Times New Roman" w:hAnsi="Trebuchet MS" w:cs="Times New Roman"/>
          <w:color w:val="5C5C5C"/>
          <w:kern w:val="36"/>
          <w:sz w:val="54"/>
          <w:szCs w:val="54"/>
        </w:rPr>
        <w:t>Антикоррупционная</w:t>
      </w:r>
      <w:proofErr w:type="spellEnd"/>
      <w:r w:rsidRPr="006B430B">
        <w:rPr>
          <w:rFonts w:ascii="Trebuchet MS" w:eastAsia="Times New Roman" w:hAnsi="Trebuchet MS" w:cs="Times New Roman"/>
          <w:color w:val="5C5C5C"/>
          <w:kern w:val="36"/>
          <w:sz w:val="54"/>
          <w:szCs w:val="54"/>
        </w:rPr>
        <w:t xml:space="preserve"> политика</w:t>
      </w:r>
    </w:p>
    <w:p w:rsidR="004C1784" w:rsidRPr="006B430B" w:rsidRDefault="004C1784" w:rsidP="004C1784">
      <w:pPr>
        <w:shd w:val="clear" w:color="auto" w:fill="F6F6F6"/>
        <w:spacing w:after="0" w:line="540" w:lineRule="atLeast"/>
        <w:jc w:val="center"/>
        <w:outlineLvl w:val="0"/>
        <w:rPr>
          <w:rFonts w:ascii="Trebuchet MS" w:eastAsia="Times New Roman" w:hAnsi="Trebuchet MS" w:cs="Times New Roman"/>
          <w:color w:val="5C5C5C"/>
          <w:kern w:val="36"/>
          <w:sz w:val="54"/>
          <w:szCs w:val="54"/>
        </w:rPr>
      </w:pPr>
      <w:r w:rsidRPr="006B430B">
        <w:rPr>
          <w:rFonts w:ascii="Trebuchet MS" w:eastAsia="Times New Roman" w:hAnsi="Trebuchet MS" w:cs="Times New Roman"/>
          <w:color w:val="5C5C5C"/>
          <w:kern w:val="36"/>
          <w:sz w:val="54"/>
          <w:szCs w:val="54"/>
        </w:rPr>
        <w:t>МБ</w:t>
      </w:r>
      <w:r>
        <w:rPr>
          <w:rFonts w:ascii="Trebuchet MS" w:eastAsia="Times New Roman" w:hAnsi="Trebuchet MS" w:cs="Times New Roman"/>
          <w:color w:val="5C5C5C"/>
          <w:kern w:val="36"/>
          <w:sz w:val="54"/>
          <w:szCs w:val="54"/>
        </w:rPr>
        <w:t xml:space="preserve">У </w:t>
      </w:r>
      <w:r w:rsidRPr="006B430B">
        <w:rPr>
          <w:rFonts w:ascii="Trebuchet MS" w:eastAsia="Times New Roman" w:hAnsi="Trebuchet MS" w:cs="Times New Roman"/>
          <w:color w:val="5C5C5C"/>
          <w:kern w:val="36"/>
          <w:sz w:val="54"/>
          <w:szCs w:val="54"/>
        </w:rPr>
        <w:t>СШ</w:t>
      </w:r>
      <w:r>
        <w:rPr>
          <w:rFonts w:ascii="Trebuchet MS" w:eastAsia="Times New Roman" w:hAnsi="Trebuchet MS" w:cs="Times New Roman"/>
          <w:color w:val="5C5C5C"/>
          <w:kern w:val="36"/>
          <w:sz w:val="54"/>
          <w:szCs w:val="54"/>
        </w:rPr>
        <w:t xml:space="preserve"> «Олимп»</w:t>
      </w:r>
    </w:p>
    <w:p w:rsidR="004C1784" w:rsidRPr="006B430B" w:rsidRDefault="004C1784" w:rsidP="004C1784">
      <w:pPr>
        <w:shd w:val="clear" w:color="auto" w:fill="F6F6F6"/>
        <w:spacing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</w:t>
      </w:r>
    </w:p>
    <w:p w:rsidR="004C1784" w:rsidRPr="00C56EC5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МУНИЦИПАЛЬНОЕ БЮДЖЕТНОЕ УЧРЕЖДЕНИЕ</w:t>
      </w: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«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СПОРТИВНАЯ ШКОЛА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«Олимп»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» 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г.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Махачкала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ПРИКАЗ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от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.20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г. №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___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Об утверждении </w:t>
      </w:r>
      <w:proofErr w:type="spellStart"/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политики муниципаль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ного бюджетного учреждения «Спортивной школы «Олимп»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»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г.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Махачкала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В целях обеспечения реализации положений Федерального закона от 25.12.2008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br/>
        <w:t>№ 273 – ФЗ «О противодействии коррупции»,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Приказываю: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1. Утвердить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антикоррупционную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политику муниципального бюджетного учреждения «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Спортивной школы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»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г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.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Махачкала,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согласно приложению № 1 к настоящему приказу.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2. Утвердить план реализации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антикоррупционных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мероприятий МБ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У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СШ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согласно приложению №2 к настоящему приказу.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3.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Контроль за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исполнением настоящего приказа оставляю за собой.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Директор</w:t>
      </w: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МБУ 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СШ                                                                                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ab/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             </w:t>
      </w:r>
      <w:proofErr w:type="spellStart"/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В.О.Зиятханов</w:t>
      </w:r>
      <w:proofErr w:type="spellEnd"/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tbl>
      <w:tblPr>
        <w:tblpPr w:leftFromText="180" w:rightFromText="180" w:vertAnchor="text" w:horzAnchor="margin" w:tblpXSpec="right" w:tblpY="353"/>
        <w:tblW w:w="4110" w:type="dxa"/>
        <w:tblCellMar>
          <w:left w:w="0" w:type="dxa"/>
          <w:right w:w="0" w:type="dxa"/>
        </w:tblCellMar>
        <w:tblLook w:val="04A0"/>
      </w:tblPr>
      <w:tblGrid>
        <w:gridCol w:w="4110"/>
      </w:tblGrid>
      <w:tr w:rsidR="004C1784" w:rsidRPr="006B430B" w:rsidTr="00377B15"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</w:tc>
      </w:tr>
      <w:tr w:rsidR="004C1784" w:rsidRPr="006B430B" w:rsidTr="00377B15"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МБУ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«Олимп»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  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4C1784" w:rsidRPr="006B430B" w:rsidRDefault="004C1784" w:rsidP="004C1784">
      <w:pPr>
        <w:shd w:val="clear" w:color="auto" w:fill="F6F6F6"/>
        <w:spacing w:before="225" w:after="225" w:line="240" w:lineRule="auto"/>
        <w:jc w:val="right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АНТИКОРРУПЦИОННАЯ ПОЛИТИКА</w:t>
      </w: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МУНИЦИПАЛЬНО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ГО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БЮДЖЕТНО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ГО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УЧРЕЖДЕНИ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Я </w:t>
      </w: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«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СПОРТИВН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ОЙ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ШКОЛ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Ы «Олимп»</w:t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» </w:t>
      </w: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г. </w:t>
      </w:r>
      <w:r>
        <w:rPr>
          <w:rFonts w:ascii="Trebuchet MS" w:eastAsia="Times New Roman" w:hAnsi="Trebuchet MS" w:cs="Times New Roman"/>
          <w:b/>
          <w:bCs/>
          <w:color w:val="5C5C5C"/>
          <w:sz w:val="21"/>
        </w:rPr>
        <w:t>Махачкала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Введение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both"/>
        <w:rPr>
          <w:rFonts w:ascii="Trebuchet MS" w:eastAsia="Times New Roman" w:hAnsi="Trebuchet MS" w:cs="Times New Roman"/>
          <w:color w:val="5C5C5C"/>
          <w:sz w:val="21"/>
          <w:szCs w:val="21"/>
        </w:rPr>
      </w:pP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Антикоррупционная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политика (далее Политика) муниципального бюджетного учреждения «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Спортивной школы «Олимп»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»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г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.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Махачкала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(далее Учреждение) определяет цели Учреждения в области противодействия вовлечения в коррупционную деятельность и соблюдения требований применимого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антикоррупционного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законодательства Российской Федерации во всех сферах деятельности. Политика определяет цели, задачи, пути их решения и основополагающие принципы противодействия вовлечения Учреждени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я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в коррупционную деятельность.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1.         Цели </w:t>
      </w:r>
      <w:proofErr w:type="spell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политики Учреждения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Настоящая Политика разработана в целях: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1.1. Создания у работников единообразного понимания о неприятии Учреждением  коррупционных действий в любых формах и проявлениях.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1.2. Минимизации риска вовлечения Учреждения в коррупционную деятельность.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2.    Задачи </w:t>
      </w:r>
      <w:proofErr w:type="spell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политики Учреждения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Задачи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политики заключаются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в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: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 xml:space="preserve">2.1.      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Информировании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работников о принимаемых к Учреждению принципах и основных требованиях применяемого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антикоррупционного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законодательства Российской Федерации.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2.2.      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Формировании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у работников единообразного понимания о неприятии к коррупции во всех ее формах и проявлениях.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2.3.      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Предупреждении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коррупционных проявлений и обеспечении ответственности за коррупционные проявления.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2.4.       Минимизации риска вовлечения Учреждения и его работников,  независимо от занимаемой должности, в коррупционную деятельность.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3.         Используемые в политике понятия и определения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proofErr w:type="gramStart"/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Коррупция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Противодействие коррупции 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  № 273-ФЗ «О противодействии коррупции»):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в) по минимизации и (или) ликвидации последствий коррупционных правонарушений.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proofErr w:type="gramStart"/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Взятка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получение должностным лицом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(бездействия) в пользу взяткодателя или представляемых им лиц, если такие действия (бездействие) входят в служебные полномочия должностного лица либо, если оно в силу должностного положения может способствовать таким действиям (бездействию), 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равно за общее покровительство или попустительство по службе.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proofErr w:type="gramStart"/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Конфликт интересов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(представителем организации) которой он является.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Личная заинтересованность работника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 (представителя организации) - заинтересованность работника (представителя организации), связанная с возможностью получения работником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>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4.         Область действия </w:t>
      </w:r>
      <w:proofErr w:type="spell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политики Учреждения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4.1.       Настоящая политика обязательна для исполнения всеми работниками Учреждения.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4.2.       Все  работники Учреждения, независимо от занимаемой должности,  несут личную ответственность за соблюдение принципов и требований настоящей политики.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4.3.       Лица, виновные в нарушении требований настоящей политики могут быть привлечены к  дисциплинарной, административной, гражданско-правовой и уголовной ответственности по инициативе Учреждения и  правоохранительных органов, в порядке и основаниям, предусмотренным законодательством Российской Федерации, локальными нормативными актами и трудовыми договорами.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numPr>
          <w:ilvl w:val="0"/>
          <w:numId w:val="5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5.         Период действия и порядок внесения изменений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5.1.       Настоящая Политика является локальным нормативным документом постоянного действия.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5.2.       Политика утверждается приказом директора Учреждения.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5.3.       Изменения в Политику вносятся в случаях: изменения законодательства в области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политики, выявления недостаточной эффективности  существующих процедур по противодействию вовлечению в коррупционную деятельность и т.п.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5.4.        Контроль за соблюдение требований Политики возлагается на заместителей директора Учреждения.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5.5.       Ответственность за соблюдением требований Политики возлагается на директора Учреждения.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numPr>
          <w:ilvl w:val="0"/>
          <w:numId w:val="6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6.      Правовые основы </w:t>
      </w:r>
      <w:proofErr w:type="spell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политики Учреждения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6.1. </w:t>
      </w:r>
      <w:proofErr w:type="gramStart"/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МБУ 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СШ является муниципальным бюджетным учреждением, поэтому деятельность Учреждения и действия ее работников в сфере противодействия коррупции должны соответствовать действующему международному законодательству, ратифицированному на территории Российской Федерации в области противодействия коррупции, действующему федеральному законодательству Российской Федерации, Указам Президента Российской Федерации, Постановлениям Правительства Российской Федерации, нормативным правовым актам 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Республики Дагестан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правовым актам муниципального образования город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а Махачкала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, локальным правовым актам Учреждения.</w:t>
      </w:r>
      <w:proofErr w:type="gramEnd"/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lastRenderedPageBreak/>
        <w:t xml:space="preserve">7. Основные принципы </w:t>
      </w:r>
      <w:proofErr w:type="spell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политики Учреждения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Принципами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политики Учреждения являются: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7.1. 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Принцип неприятия коррупции во всех ее формах и проявлениях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 Принцип неприятия коррупции означает строгий запрет для работников Учреждения вне зависимости от рода деятельности и занимаемой должности  прямо или косвенно, лично либо через посредничество  участвовать в коррупционных действиях.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7.2. 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Принцип неотвратимости наказания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. Данный принцип означает  непримиримое отношение Учреждения к любым  формам и проявлениям коррупционных действий, обоснованное разумное расследование сообщений о нарушении процедур в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деятельности, привлечение виновных без учета их деятельности и занимаемой должности к ответственности  в установленном действующим законодательством и локальными нормативными актами порядке.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7.3. 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Принцип законности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 Учреждение строго соблюдает законодательство Российской Федерации, нормы которого применимы к деятельности Учреждения  в области противодействия вовлечения в коррупционную деятельность.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7.4. 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Принцип личного примера руководящего состава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7.5.  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Принцип вовлеченности работников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. Заключается в информированности работников организации о положениях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антикоррупционного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законодательства и их активное участие в формировании и реализации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антикоррупционных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стандартов и процедур.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 xml:space="preserve">7.6. Принцип соразмерности </w:t>
      </w:r>
      <w:proofErr w:type="spellStart"/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антикоррупционных</w:t>
      </w:r>
      <w:proofErr w:type="spellEnd"/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 xml:space="preserve"> процедур риску коррупции. 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Разработка и выполнение комплекса мероприятий, позволяющих снизить вероятность вовлечения Учреждения, его работников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7.7. 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Принцип открытости работы. 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Информирование партнеров и общественности о принятых в Учреждении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антикоррупционных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стандартах работы.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7.8. </w:t>
      </w:r>
      <w:r w:rsidRPr="006B430B">
        <w:rPr>
          <w:rFonts w:ascii="Trebuchet MS" w:eastAsia="Times New Roman" w:hAnsi="Trebuchet MS" w:cs="Times New Roman"/>
          <w:i/>
          <w:iCs/>
          <w:color w:val="5C5C5C"/>
          <w:sz w:val="21"/>
        </w:rPr>
        <w:t>Принцип постоянного контроля и регулярного мониторинга. 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Регулярное осуществление мониторинга эффективности внедренных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антикоррупционных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стандартов и процедур, а также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контроля за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их исполнением.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br/>
      </w: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8.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8.1. Обязанности работников Учреждения в связи с предупреждением и противодействием коррупции могут быть общими для всех сотрудников Учреждения или специальными, то есть устанавливаться для отдельных категорий работников.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8.2. Общие обязанности работников в связи с предупреждением и противодействием коррупции следующие: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lastRenderedPageBreak/>
        <w:t xml:space="preserve">- воздерживаться от поведения, которое может быть истолковано окружающими как готовность </w:t>
      </w:r>
      <w:proofErr w:type="gram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совершить</w:t>
      </w:r>
      <w:proofErr w:type="gram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- незамедлительно информировать непосредственного руководителя или лицо, ответственное за реализацию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политики о случаях склонения работника к совершению коррупционных правонарушений;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- незамедлительно информировать непосредственного руководителя или лицо, ответственное за реализацию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политики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-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8.3. Специальные обязанности в связи с предупреждением и противодействием коррупции могут устанавливаться для следующих категорий лиц, работающих в Учреждении:  руководства Учреждения; лиц, ответственных за реализацию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политики; работников, чья деятельность связана с коррупционными рисками; лиц, осуществляющих внутренний контроль  и т.д.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8.4. Общие, так и специальные обязанности включаются в должностные инструкции работников. При условии закрепления обязанностей работника в связи с предупреждением и противодействием коррупции в должностной инструкции работодатель вправе применить к работнику меры дисциплинарного взыскания за их неисполнение.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8.5.            В целях обеспечения эффективного исполнения возложенных на работников обязанностей регламентируется процедуры их соблюдения.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Учреждения.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numPr>
          <w:ilvl w:val="0"/>
          <w:numId w:val="7"/>
        </w:numPr>
        <w:shd w:val="clear" w:color="auto" w:fill="F6F6F6"/>
        <w:spacing w:before="100" w:beforeAutospacing="1" w:after="100" w:afterAutospacing="1" w:line="240" w:lineRule="auto"/>
        <w:ind w:left="150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9.      Установление перечня </w:t>
      </w:r>
      <w:proofErr w:type="gram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реализуемых</w:t>
      </w:r>
      <w:proofErr w:type="gramEnd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 xml:space="preserve"> Учреждением </w:t>
      </w:r>
      <w:proofErr w:type="spellStart"/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антикоррупционных</w:t>
      </w:r>
      <w:proofErr w:type="spellEnd"/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мероприятий, стандартов и процедур и порядок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их выполнения (применения)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9.1. В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антикоррупционную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политику включается следующий перечень мероприятий, которые Учреждение планирует реализовать в целях предупреждения и противодействия коррупции: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5"/>
        <w:gridCol w:w="6530"/>
      </w:tblGrid>
      <w:tr w:rsidR="004C1784" w:rsidRPr="006B430B" w:rsidTr="00377B15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4C1784" w:rsidRPr="006B430B" w:rsidTr="00377B15">
        <w:tc>
          <w:tcPr>
            <w:tcW w:w="3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обеспечение и закрепление стандартов поведения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работников.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положения о противодействии коррупции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принятие положения по урегулированию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конфликта интересов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комиссии по противодействию коррупции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комиссии по урегулированию конфликта интересов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784" w:rsidRPr="006B430B" w:rsidTr="00377B1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784" w:rsidRPr="006B430B" w:rsidRDefault="004C1784" w:rsidP="00377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оговорки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положений в должностные инструкции работников.</w:t>
            </w:r>
          </w:p>
        </w:tc>
      </w:tr>
      <w:tr w:rsidR="004C1784" w:rsidRPr="006B430B" w:rsidTr="00377B15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4C1784" w:rsidRPr="006B430B" w:rsidTr="00377B15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4C1784" w:rsidRPr="006B430B" w:rsidTr="00377B15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соответствия системы внутреннего контроля Учреждения требованиям настоящей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4C1784" w:rsidRPr="006B430B" w:rsidTr="00377B15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4C1784" w:rsidRPr="006B430B" w:rsidTr="00377B15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обязательного проведения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  организационно-распорядительных документов и их проектов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единого порядка проведения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экспертизы документов</w:t>
            </w:r>
          </w:p>
        </w:tc>
      </w:tr>
      <w:tr w:rsidR="004C1784" w:rsidRPr="006B430B" w:rsidTr="00377B15"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в сфере закупочной деятельности</w:t>
            </w:r>
          </w:p>
        </w:tc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открытой и конкурентной системы  закупочных процедур (тщательное планирование  потребности в продукции,  целевое и экономически эффективное расходование денежных средств на приобретение товаров, работ или услуг и пр.)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4F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467.75pt;height:.75pt" o:hralign="center" o:hrstd="t" o:hr="t" fillcolor="#a0a0a0" stroked="f"/>
              </w:pic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закупочной деятельностью</w:t>
            </w:r>
          </w:p>
        </w:tc>
      </w:tr>
    </w:tbl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     </w:t>
      </w: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9.2. В качестве приложения к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антикоррупционной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политике утверждается план реализации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антикоррупционных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мероприятий с указанием сроков его проведения и ответственного исполнителя для каждого мероприятия.</w:t>
      </w: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5"/>
      </w:tblGrid>
      <w:tr w:rsidR="004C1784" w:rsidRPr="006B430B" w:rsidTr="00377B15"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политике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</w:tr>
      <w:tr w:rsidR="004C1784" w:rsidRPr="006B430B" w:rsidTr="00377B15">
        <w:tc>
          <w:tcPr>
            <w:tcW w:w="28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b/>
          <w:bCs/>
          <w:color w:val="5C5C5C"/>
          <w:sz w:val="21"/>
        </w:rPr>
        <w:t>ПЛАН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реализации </w:t>
      </w:r>
      <w:proofErr w:type="spellStart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антикоррупционных</w:t>
      </w:r>
      <w:proofErr w:type="spellEnd"/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мероприятий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муниципаль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ного бюджетного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учрежд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>ения «С</w:t>
      </w: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портивная школа</w:t>
      </w:r>
      <w:r>
        <w:rPr>
          <w:rFonts w:ascii="Trebuchet MS" w:eastAsia="Times New Roman" w:hAnsi="Trebuchet MS" w:cs="Times New Roman"/>
          <w:color w:val="5C5C5C"/>
          <w:sz w:val="21"/>
          <w:szCs w:val="21"/>
        </w:rPr>
        <w:t xml:space="preserve"> «Олимп»» г</w:t>
      </w:r>
      <w:proofErr w:type="gramStart"/>
      <w:r>
        <w:rPr>
          <w:rFonts w:ascii="Trebuchet MS" w:eastAsia="Times New Roman" w:hAnsi="Trebuchet MS" w:cs="Times New Roman"/>
          <w:color w:val="5C5C5C"/>
          <w:sz w:val="21"/>
          <w:szCs w:val="21"/>
        </w:rPr>
        <w:t>.М</w:t>
      </w:r>
      <w:proofErr w:type="gramEnd"/>
      <w:r>
        <w:rPr>
          <w:rFonts w:ascii="Trebuchet MS" w:eastAsia="Times New Roman" w:hAnsi="Trebuchet MS" w:cs="Times New Roman"/>
          <w:color w:val="5C5C5C"/>
          <w:sz w:val="21"/>
          <w:szCs w:val="21"/>
        </w:rPr>
        <w:t>ахачкала</w:t>
      </w:r>
    </w:p>
    <w:p w:rsidR="004C1784" w:rsidRPr="006B430B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2"/>
        <w:gridCol w:w="5019"/>
        <w:gridCol w:w="1891"/>
        <w:gridCol w:w="1873"/>
      </w:tblGrid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ответственных лиц за противодействие коррупции в учреждении с возложением на них следующих функций: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а) обеспечение соблюдения сотрудниками правил внутреннего трудового распорядка, а так же других локальных актов;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б) обеспечение деятельности по разрешению конфликта интересов и принятие мер по их предотвращению;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предоставление </w:t>
            </w:r>
            <w:proofErr w:type="gram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к</w:t>
            </w:r>
            <w:proofErr w:type="gram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открытому высказыванию о фактах обнаружения коррупционных действий;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проведение служебных проверок случаев коррупционных проявлений;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взаимодействие с правоохранительными органами и другими организациями,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осуществляющими </w:t>
            </w:r>
            <w:proofErr w:type="gram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законодательства в области </w:t>
            </w:r>
            <w:proofErr w:type="spell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г. </w:t>
            </w:r>
          </w:p>
          <w:p w:rsidR="004C1784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784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  <w:p w:rsidR="004C1784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общедоступных местах в учреждении и на сайте учреждения: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а) информацию с целью ознакомления родителей (законных представителей) и других посетителей с условиями работы учреждения;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б) информации о правилах приема, перевода и отчисления обучающихся;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в) информации о предоставлении учреждением платных услуг;</w:t>
            </w:r>
          </w:p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г) телефонов должностных лиц учреждения, к которым могут обратиться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собраний трудового коллектива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тренерских советов, советов родителей (законных представителей) и других совещаний, семинаров, консультаций, круглых столов с целью разъяснения коррупционной политики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административно – хозяйственной деятельностью учреждения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плановой инвентаризации имущества учреждения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сотрудников, ответственных за проведение конкурсных процедур по вопросам закупок для нужд учреждения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заявлений, обращений граждан (сотрудников, обучающихся, посетителей) на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 наличия в них информации о фактах коррупционных проявлений в учреждении. Принятие по результатам проверок организационных мер, направленных на предупреждение подобных фактов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Директор, заместители директора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порядком предоставления платных услуг в учреждении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принятых контрактных обязательств, прозрачности процедур закупок и т.п.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справедливой конкуренции на спортивных соревнованиях. Устранения дискриминационных условий доступа обучающихся к местам проведения тренировочных занятий другим необходимым помещениям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</w:tr>
      <w:tr w:rsidR="004C1784" w:rsidRPr="006B430B" w:rsidTr="00377B15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работы среди административного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тренерского </w:t>
            </w: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 по недопущению фактов вымогательства и получения денежных и иных средств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C1784" w:rsidRPr="006B430B" w:rsidRDefault="004C1784" w:rsidP="00377B15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3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4C1784" w:rsidRPr="006B430B" w:rsidRDefault="004C1784" w:rsidP="004C1784">
      <w:pPr>
        <w:shd w:val="clear" w:color="auto" w:fill="F6F6F6"/>
        <w:spacing w:before="225" w:after="225" w:line="240" w:lineRule="auto"/>
        <w:rPr>
          <w:rFonts w:ascii="Trebuchet MS" w:eastAsia="Times New Roman" w:hAnsi="Trebuchet MS" w:cs="Times New Roman"/>
          <w:color w:val="5C5C5C"/>
          <w:sz w:val="21"/>
          <w:szCs w:val="21"/>
        </w:rPr>
      </w:pPr>
      <w:r w:rsidRPr="006B430B">
        <w:rPr>
          <w:rFonts w:ascii="Trebuchet MS" w:eastAsia="Times New Roman" w:hAnsi="Trebuchet MS" w:cs="Times New Roman"/>
          <w:color w:val="5C5C5C"/>
          <w:sz w:val="21"/>
          <w:szCs w:val="21"/>
        </w:rPr>
        <w:t> </w:t>
      </w: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4C1784" w:rsidRDefault="004C1784" w:rsidP="004C1784">
      <w:pPr>
        <w:shd w:val="clear" w:color="auto" w:fill="F6F6F6"/>
        <w:spacing w:before="225" w:after="225" w:line="240" w:lineRule="auto"/>
        <w:jc w:val="center"/>
        <w:rPr>
          <w:rFonts w:ascii="Trebuchet MS" w:eastAsia="Times New Roman" w:hAnsi="Trebuchet MS" w:cs="Times New Roman"/>
          <w:b/>
          <w:bCs/>
          <w:color w:val="5C5C5C"/>
          <w:sz w:val="21"/>
        </w:rPr>
      </w:pPr>
    </w:p>
    <w:p w:rsidR="00D92311" w:rsidRDefault="00D92311"/>
    <w:sectPr w:rsidR="00D9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3DF"/>
    <w:multiLevelType w:val="multilevel"/>
    <w:tmpl w:val="8968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335C2"/>
    <w:multiLevelType w:val="multilevel"/>
    <w:tmpl w:val="44C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83296"/>
    <w:multiLevelType w:val="multilevel"/>
    <w:tmpl w:val="D8F6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12EA4"/>
    <w:multiLevelType w:val="multilevel"/>
    <w:tmpl w:val="FA2C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A576F"/>
    <w:multiLevelType w:val="multilevel"/>
    <w:tmpl w:val="F26A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B6C50"/>
    <w:multiLevelType w:val="multilevel"/>
    <w:tmpl w:val="0B32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C3361"/>
    <w:multiLevelType w:val="multilevel"/>
    <w:tmpl w:val="BF10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784"/>
    <w:rsid w:val="004C1784"/>
    <w:rsid w:val="00D9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2811</Words>
  <Characters>16029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2018-02-21T07:33:00Z</dcterms:created>
  <dcterms:modified xsi:type="dcterms:W3CDTF">2018-02-21T07:33:00Z</dcterms:modified>
</cp:coreProperties>
</file>